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b/>
          <w:bCs/>
          <w:sz w:val="28"/>
          <w:szCs w:val="28"/>
        </w:rPr>
      </w:pPr>
      <w:r>
        <w:rPr>
          <w:rFonts w:cs="Arial" w:ascii="Verdana" w:hAnsi="Verdana"/>
          <w:b/>
          <w:bCs/>
          <w:smallCaps/>
          <w:color w:val="000000"/>
          <w:sz w:val="28"/>
          <w:szCs w:val="28"/>
        </w:rPr>
        <w:t xml:space="preserve">EDITAL </w:t>
      </w:r>
    </w:p>
    <w:p>
      <w:pPr>
        <w:pStyle w:val="Normal"/>
        <w:spacing w:lineRule="auto" w:line="276"/>
        <w:jc w:val="center"/>
        <w:rPr>
          <w:b/>
          <w:bCs/>
          <w:sz w:val="28"/>
          <w:szCs w:val="28"/>
        </w:rPr>
      </w:pPr>
      <w:r>
        <w:rPr>
          <w:rFonts w:cs="Arial" w:ascii="Verdana" w:hAnsi="Verdana"/>
          <w:b/>
          <w:bCs/>
          <w:smallCaps/>
          <w:color w:val="000000"/>
          <w:sz w:val="28"/>
          <w:szCs w:val="28"/>
        </w:rPr>
        <w:t>PREGÃO ELETRÔNICO Nº 049/2024</w:t>
      </w:r>
    </w:p>
    <w:p>
      <w:pPr>
        <w:pStyle w:val="Normal"/>
        <w:spacing w:lineRule="auto" w:line="276"/>
        <w:jc w:val="center"/>
        <w:rPr>
          <w:sz w:val="20"/>
          <w:szCs w:val="20"/>
        </w:rPr>
      </w:pPr>
      <w:r>
        <w:rPr>
          <w:rFonts w:cs="Arial" w:ascii="Verdana" w:hAnsi="Verdana"/>
          <w:b/>
          <w:bCs/>
          <w:smallCaps/>
          <w:color w:val="000000"/>
          <w:sz w:val="28"/>
          <w:szCs w:val="28"/>
        </w:rPr>
        <w:t>(Processo Administrativo n° 005809/2024 de 06/08/2024)</w:t>
      </w:r>
    </w:p>
    <w:p>
      <w:pPr>
        <w:pStyle w:val="Normal"/>
        <w:spacing w:lineRule="auto" w:line="276"/>
        <w:jc w:val="center"/>
        <w:rPr>
          <w:sz w:val="20"/>
          <w:szCs w:val="20"/>
        </w:rPr>
      </w:pPr>
      <w:r>
        <w:rPr>
          <w:sz w:val="20"/>
          <w:szCs w:val="20"/>
        </w:rPr>
      </w:r>
    </w:p>
    <w:p>
      <w:pPr>
        <w:pStyle w:val="BodyText"/>
        <w:spacing w:lineRule="auto" w:line="276"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Data da sessão: ___/___/2024.</w:t>
      </w:r>
    </w:p>
    <w:p>
      <w:pPr>
        <w:pStyle w:val="Normal"/>
        <w:spacing w:lineRule="auto" w:line="276" w:before="57" w:after="57"/>
        <w:rPr>
          <w:rFonts w:ascii="Verdana" w:hAnsi="Verdana"/>
          <w:sz w:val="20"/>
          <w:szCs w:val="20"/>
        </w:rPr>
      </w:pPr>
      <w:r>
        <w:rPr>
          <w:rFonts w:cs="Arial" w:ascii="Verdana" w:hAnsi="Verdana"/>
          <w:b/>
          <w:bCs/>
          <w:color w:val="000000"/>
          <w:sz w:val="20"/>
          <w:szCs w:val="20"/>
        </w:rPr>
        <w:t>Horário: ___h___min.</w:t>
      </w:r>
    </w:p>
    <w:p>
      <w:pPr>
        <w:pStyle w:val="Normal"/>
        <w:spacing w:lineRule="auto" w:line="276" w:before="57" w:after="57"/>
        <w:rPr>
          <w:rFonts w:ascii="Verdana" w:hAnsi="Verdana" w:cs="Arial"/>
          <w:b/>
          <w:bCs/>
          <w:color w:val="000000"/>
          <w:sz w:val="20"/>
          <w:szCs w:val="2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before="57" w:after="57"/>
        <w:rPr>
          <w:rFonts w:ascii="Verdana" w:hAnsi="Verdana"/>
          <w:b/>
          <w:bCs/>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76"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DO OBJETO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1.1 O objeto da presente licitação é a </w:t>
      </w:r>
      <w:bookmarkStart w:id="1" w:name="_Hlk172626665"/>
      <w:bookmarkStart w:id="2" w:name="_Hlk162947020"/>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para futura e eventual </w:t>
      </w:r>
      <w:bookmarkStart w:id="3" w:name="_Hlk172626699"/>
      <w:bookmarkEnd w:id="2"/>
      <w:r>
        <w:rPr>
          <w:rFonts w:ascii="Verdana" w:hAnsi="Verdana"/>
          <w:iCs/>
          <w:sz w:val="20"/>
          <w:szCs w:val="20"/>
        </w:rPr>
        <w:t>aquisição de – câmara fria para conservação de imunológicos atendendo as necessidades da Secretaria Municipal de Saúde</w:t>
      </w:r>
      <w:bookmarkEnd w:id="1"/>
      <w:bookmarkEnd w:id="3"/>
      <w:r>
        <w:rPr>
          <w:rFonts w:ascii="Verdana" w:hAnsi="Verdana"/>
          <w:iCs/>
          <w:sz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before="57" w:after="57"/>
        <w:jc w:val="both"/>
        <w:rPr>
          <w:sz w:val="20"/>
          <w:szCs w:val="20"/>
        </w:rPr>
      </w:pPr>
      <w:r>
        <w:rPr>
          <w:rFonts w:cs="Arial" w:ascii="Verdana" w:hAnsi="Verdana"/>
          <w:iCs/>
          <w:color w:themeColor="text1" w:val="000000"/>
          <w:sz w:val="20"/>
          <w:szCs w:val="20"/>
        </w:rPr>
        <w:t>1.2 A licitação será dividida em itens, conforme tabela constante no ANEXO 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76" w:before="57" w:after="57"/>
        <w:jc w:val="both"/>
        <w:rPr>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jc w:val="both"/>
        <w:rPr>
          <w:sz w:val="20"/>
          <w:szCs w:val="20"/>
          <w:highlight w:val="yellow"/>
        </w:rPr>
      </w:pPr>
      <w:r>
        <w:rPr>
          <w:rFonts w:eastAsia="Batang;바탕" w:cs="Arial" w:ascii="Verdana" w:hAnsi="Verdana"/>
          <w:b/>
          <w:bCs/>
          <w:sz w:val="20"/>
          <w:szCs w:val="20"/>
          <w:highlight w:val="yellow"/>
        </w:rPr>
        <w:t xml:space="preserve">a) </w:t>
      </w:r>
      <w:r>
        <w:rPr>
          <w:rFonts w:eastAsia="Batang;바탕" w:cs="Arial" w:ascii="Verdana" w:hAnsi="Verdana"/>
          <w:sz w:val="20"/>
          <w:szCs w:val="20"/>
          <w:highlight w:val="yellow"/>
        </w:rPr>
        <w:t xml:space="preserve">A licitação correspondente ao item 01 não ocorrerá com exclusividade para microempresas ou empresas de pequeno porte, haja vista seus valores estarem acima do valor limite previsto no inciso I do artigo 48 da Lei Complementar 123/2006 consolidada, e o critério de julgamento desta licitação ser de o menor valor </w:t>
      </w:r>
      <w:r>
        <w:rPr>
          <w:rFonts w:eastAsia="Batang;바탕" w:cs="Arial" w:ascii="Verdana" w:hAnsi="Verdana"/>
          <w:kern w:val="2"/>
          <w:sz w:val="20"/>
          <w:szCs w:val="20"/>
          <w:highlight w:val="yellow"/>
          <w:lang w:eastAsia="zh-CN" w:bidi="hi-IN"/>
        </w:rPr>
        <w:t>unitário</w:t>
      </w:r>
      <w:r>
        <w:rPr>
          <w:rFonts w:eastAsia="Batang;바탕" w:cs="Arial" w:ascii="Verdana" w:hAnsi="Verdana"/>
          <w:sz w:val="20"/>
          <w:szCs w:val="20"/>
          <w:highlight w:val="yellow"/>
        </w:rPr>
        <w:t>.</w:t>
      </w:r>
    </w:p>
    <w:p>
      <w:pPr>
        <w:pStyle w:val="Normal"/>
        <w:spacing w:lineRule="auto" w:line="276" w:before="57" w:after="57"/>
        <w:jc w:val="both"/>
        <w:rPr>
          <w:rFonts w:ascii="Verdana" w:hAnsi="Verdana"/>
          <w:sz w:val="20"/>
          <w:szCs w:val="20"/>
        </w:rPr>
      </w:pPr>
      <w:r>
        <w:rPr>
          <w:rFonts w:eastAsia="Batang;바탕" w:cs="Arial" w:ascii="Verdana" w:hAnsi="Verdana"/>
          <w:b/>
          <w:bCs/>
          <w:iCs/>
          <w:color w:val="000000"/>
          <w:sz w:val="20"/>
          <w:szCs w:val="20"/>
          <w:highlight w:val="yellow"/>
        </w:rPr>
        <w:t xml:space="preserve">b) </w:t>
      </w:r>
      <w:r>
        <w:rPr>
          <w:rFonts w:eastAsia="Batang;바탕" w:cs="Arial" w:ascii="Verdana" w:hAnsi="Verdana"/>
          <w:b w:val="false"/>
          <w:bCs w:val="false"/>
          <w:iCs/>
          <w:color w:val="000000"/>
          <w:sz w:val="20"/>
          <w:szCs w:val="20"/>
          <w:highlight w:val="yellow"/>
        </w:rPr>
        <w:t>Em relação ao item 02, este ocor</w:t>
      </w:r>
      <w:r>
        <w:rPr>
          <w:rFonts w:eastAsia="Batang;바탕" w:cs="Arial" w:ascii="Verdana" w:hAnsi="Verdana"/>
          <w:iCs/>
          <w:color w:val="000000"/>
          <w:sz w:val="20"/>
          <w:szCs w:val="20"/>
          <w:highlight w:val="yellow"/>
        </w:rPr>
        <w:t>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pPr>
        <w:pStyle w:val="Normal"/>
        <w:spacing w:lineRule="auto" w:line="276" w:before="57" w:after="57"/>
        <w:jc w:val="both"/>
        <w:rPr>
          <w:sz w:val="16"/>
          <w:szCs w:val="16"/>
        </w:rPr>
      </w:pPr>
      <w:r>
        <w:rPr>
          <w:sz w:val="16"/>
          <w:szCs w:val="16"/>
        </w:rPr>
      </w:r>
    </w:p>
    <w:p>
      <w:pPr>
        <w:pStyle w:val="Nivel01"/>
        <w:numPr>
          <w:ilvl w:val="0"/>
          <w:numId w:val="2"/>
        </w:numPr>
        <w:spacing w:lineRule="auto" w:line="276" w:before="113" w:after="113"/>
        <w:ind w:hanging="0" w:left="57" w:right="57"/>
        <w:rPr/>
      </w:pPr>
      <w:r>
        <w:rPr>
          <w:rFonts w:cs="Arial" w:ascii="Verdana" w:hAnsi="Verdana"/>
        </w:rPr>
        <w:t xml:space="preserve">DO REGISTRO DE PREÇOS </w:t>
      </w:r>
    </w:p>
    <w:p>
      <w:pPr>
        <w:pStyle w:val="Normal"/>
        <w:spacing w:lineRule="auto" w:line="276" w:before="113" w:after="113"/>
        <w:ind w:hanging="0" w:left="57" w:right="57"/>
        <w:jc w:val="both"/>
        <w:rPr>
          <w:sz w:val="20"/>
          <w:szCs w:val="20"/>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76" w:before="113" w:after="113"/>
        <w:ind w:hanging="0" w:left="57" w:right="57"/>
        <w:jc w:val="both"/>
        <w:rPr>
          <w:rFonts w:ascii="Verdana" w:hAnsi="Verdana" w:cs="Arial"/>
          <w:color w:val="000000"/>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jc w:val="both"/>
        <w:rPr>
          <w:sz w:val="20"/>
          <w:szCs w:val="20"/>
        </w:rPr>
      </w:pPr>
      <w:r>
        <w:rPr>
          <w:rFonts w:eastAsia="Batang;바탕" w:cs="Arial" w:ascii="Verdana" w:hAnsi="Verdana"/>
          <w:b/>
          <w:bCs/>
          <w:sz w:val="20"/>
          <w:szCs w:val="20"/>
        </w:rPr>
        <w:t xml:space="preserve">a) </w:t>
      </w:r>
      <w:r>
        <w:rPr>
          <w:rFonts w:eastAsia="Batang;바탕" w:cs="Arial" w:ascii="Verdana" w:hAnsi="Verdana"/>
          <w:sz w:val="20"/>
          <w:szCs w:val="20"/>
        </w:rPr>
        <w:t xml:space="preserve">A licitação correspondente aos itens 01, 02 não ocorrerá com exclusividade para microempresas ou empresas de pequeno porte, haja vista seus valores estarem acima do valor limite previsto no inciso I do artigo 48 da Lei Complementar 123/2006 consolidada, e o critério de julgamento desta licitação ser de o menor valor </w:t>
      </w:r>
      <w:r>
        <w:rPr>
          <w:rFonts w:eastAsia="Batang;바탕" w:cs="Arial" w:ascii="Verdana" w:hAnsi="Verdana"/>
          <w:kern w:val="2"/>
          <w:sz w:val="20"/>
          <w:szCs w:val="20"/>
          <w:lang w:eastAsia="zh-CN" w:bidi="hi-IN"/>
        </w:rPr>
        <w:t>unitário</w:t>
      </w:r>
      <w:r>
        <w:rPr>
          <w:rFonts w:eastAsia="Batang;바탕" w:cs="Arial" w:ascii="Verdana" w:hAnsi="Verdana"/>
          <w:sz w:val="20"/>
          <w:szCs w:val="20"/>
        </w:rPr>
        <w:t>.</w:t>
      </w:r>
    </w:p>
    <w:p>
      <w:pPr>
        <w:pStyle w:val="Normal"/>
        <w:spacing w:lineRule="auto" w:line="276" w:before="57" w:after="57"/>
        <w:jc w:val="both"/>
        <w:rPr>
          <w:rFonts w:ascii="Verdana" w:hAnsi="Verdana"/>
          <w:sz w:val="20"/>
          <w:szCs w:val="20"/>
        </w:rPr>
      </w:pPr>
      <w:r>
        <w:rPr>
          <w:rFonts w:eastAsia="Batang;바탕" w:cs="Arial" w:ascii="Verdana" w:hAnsi="Verdana"/>
          <w:b/>
          <w:bCs/>
          <w:color w:val="000000"/>
          <w:sz w:val="20"/>
          <w:szCs w:val="20"/>
        </w:rPr>
        <w:t xml:space="preserve">b) </w:t>
      </w:r>
      <w:r>
        <w:rPr>
          <w:rFonts w:eastAsia="Batang;바탕" w:cs="Arial" w:ascii="Verdana" w:hAnsi="Verdana"/>
          <w:color w:val="000000"/>
          <w:sz w:val="20"/>
          <w:szCs w:val="20"/>
        </w:rPr>
        <w:t>No item 03,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pPr>
        <w:pStyle w:val="Nivel01"/>
        <w:spacing w:lineRule="auto" w:line="276" w:before="57" w:after="57"/>
        <w:rPr>
          <w:rFonts w:ascii="Verdana" w:hAnsi="Verdana"/>
        </w:rPr>
      </w:pPr>
      <w:r>
        <w:rPr>
          <w:rFonts w:ascii="Verdana" w:hAnsi="Verdana"/>
        </w:rPr>
      </w:r>
    </w:p>
    <w:p>
      <w:pPr>
        <w:pStyle w:val="Nivel01"/>
        <w:numPr>
          <w:ilvl w:val="0"/>
          <w:numId w:val="2"/>
        </w:numPr>
        <w:spacing w:lineRule="auto" w:line="276" w:before="0" w:after="0"/>
        <w:ind w:hanging="0" w:left="0"/>
        <w:rPr>
          <w:rFonts w:ascii="Verdana" w:hAnsi="Verdana"/>
        </w:rPr>
      </w:pPr>
      <w:r>
        <w:rPr>
          <w:rFonts w:cs="Arial" w:ascii="Verdana" w:hAnsi="Verdana"/>
        </w:rPr>
        <w:t>DO CREDENCIAMENTO</w:t>
      </w:r>
    </w:p>
    <w:p>
      <w:pPr>
        <w:pStyle w:val="Default"/>
        <w:spacing w:lineRule="auto" w:line="276"/>
        <w:ind w:hanging="0"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ind w:hanging="0" w:right="113"/>
        <w:jc w:val="both"/>
        <w:rPr>
          <w:rFonts w:ascii="Verdana" w:hAnsi="Verdana"/>
          <w:sz w:val="20"/>
          <w:szCs w:val="20"/>
        </w:rPr>
      </w:pPr>
      <w:r>
        <w:rPr>
          <w:rFonts w:ascii="Verdana" w:hAnsi="Verdana"/>
          <w:sz w:val="20"/>
          <w:szCs w:val="20"/>
        </w:rPr>
        <w:t>3.2. Para acesso ao sistema eletrônico, os interessados em participar do Pregão deverão obter chave de identificação e senha pessoal (intransferíveis), junto ao provedor do sistema indicado neste instrumento, através de realização de cadastramento simplificado.</w:t>
      </w:r>
    </w:p>
    <w:p>
      <w:pPr>
        <w:pStyle w:val="Default"/>
        <w:spacing w:lineRule="auto" w:line="276"/>
        <w:ind w:hanging="0" w:right="113"/>
        <w:jc w:val="both"/>
        <w:rPr>
          <w:rFonts w:ascii="Verdana" w:hAnsi="Verdana"/>
          <w:sz w:val="20"/>
          <w:szCs w:val="20"/>
        </w:rPr>
      </w:pPr>
      <w:r>
        <w:rPr>
          <w:rFonts w:ascii="Verdana" w:hAnsi="Verdana"/>
          <w:sz w:val="20"/>
          <w:szCs w:val="20"/>
        </w:rPr>
        <w:t>3.3. É de exclusiva responsabilidade do usuário o sigilo da senha, bem como seu uso em qualquer transação efetuada.</w:t>
      </w:r>
    </w:p>
    <w:p>
      <w:pPr>
        <w:pStyle w:val="Default"/>
        <w:spacing w:lineRule="auto" w:line="276"/>
        <w:ind w:hanging="0"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ind w:hanging="0" w:right="113"/>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0" w:after="113"/>
        <w:ind w:hanging="0" w:right="113"/>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ind w:hanging="0" w:right="113"/>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DA PARTICIPAÇÃO NO PREGÃO.</w:t>
      </w:r>
    </w:p>
    <w:p>
      <w:pPr>
        <w:pStyle w:val="Normal"/>
        <w:spacing w:lineRule="auto" w:line="276" w:before="57" w:after="57"/>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before="57" w:after="57"/>
        <w:jc w:val="both"/>
        <w:rPr>
          <w:rFonts w:ascii="Verdana" w:hAnsi="Verdana" w:cs="Arial"/>
          <w:bCs/>
          <w:iCs/>
          <w:color w:val="000000"/>
          <w:sz w:val="20"/>
          <w:szCs w:val="20"/>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jc w:val="both"/>
        <w:rPr/>
      </w:pPr>
      <w:r>
        <w:rPr>
          <w:rStyle w:val="Hyperlink"/>
          <w:rFonts w:cs="Arial" w:ascii="Verdana" w:hAnsi="Verdana"/>
          <w:iCs/>
          <w:color w:val="000000"/>
          <w:sz w:val="20"/>
          <w:szCs w:val="20"/>
          <w:u w:val="none"/>
        </w:rPr>
        <w:t>4.2.1 Poderão participar da licitação as empresas interessadas,</w:t>
      </w:r>
      <w:r>
        <w:rPr>
          <w:rStyle w:val="Hyperlink"/>
          <w:rFonts w:cs="Arial" w:ascii="Verdana" w:hAnsi="Verdana"/>
          <w:i/>
          <w:iCs/>
          <w:color w:val="000000"/>
          <w:sz w:val="20"/>
          <w:szCs w:val="20"/>
          <w:u w:val="none"/>
        </w:rPr>
        <w:t xml:space="preserve"> </w:t>
      </w:r>
      <w:r>
        <w:rPr>
          <w:rStyle w:val="Hyperlink"/>
          <w:rFonts w:cs="Arial" w:ascii="Verdana" w:hAnsi="Verdana"/>
          <w:iCs/>
          <w:color w:val="000000"/>
          <w:sz w:val="20"/>
          <w:szCs w:val="20"/>
          <w:u w:val="none"/>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i/>
            <w:iCs/>
            <w:sz w:val="20"/>
            <w:szCs w:val="20"/>
            <w:u w:val="none"/>
          </w:rPr>
          <w:t>www.portaldecompraspublicas.com.br</w:t>
        </w:r>
      </w:hyperlink>
      <w:r>
        <w:rPr>
          <w:rStyle w:val="Hyperlink"/>
          <w:rFonts w:cs="Arial" w:ascii="Verdana" w:hAnsi="Verdana"/>
          <w:iCs/>
          <w:sz w:val="20"/>
          <w:szCs w:val="20"/>
          <w:u w:val="none"/>
        </w:rPr>
        <w:t>.</w:t>
      </w:r>
    </w:p>
    <w:p>
      <w:pPr>
        <w:pStyle w:val="Normal"/>
        <w:snapToGrid w:val="false"/>
        <w:spacing w:lineRule="auto" w:line="276" w:before="57" w:after="57"/>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before="57" w:after="57"/>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before="57" w:after="57"/>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before="57" w:after="57"/>
        <w:jc w:val="both"/>
        <w:rPr>
          <w:rFonts w:ascii="Verdana" w:hAnsi="Verdana"/>
          <w:sz w:val="20"/>
          <w:szCs w:val="20"/>
        </w:rPr>
      </w:pPr>
      <w:r>
        <w:rPr>
          <w:rFonts w:cs="Arial" w:ascii="Verdana" w:hAnsi="Verdana"/>
          <w:bCs/>
          <w:color w:val="000000"/>
          <w:sz w:val="20"/>
          <w:szCs w:val="20"/>
        </w:rPr>
        <w:t>4.3.3 A</w:t>
      </w:r>
      <w:bookmarkStart w:id="4"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4"/>
    </w:p>
    <w:p>
      <w:pPr>
        <w:pStyle w:val="Normal"/>
        <w:tabs>
          <w:tab w:val="clear" w:pos="708"/>
          <w:tab w:val="left" w:pos="1440" w:leader="none"/>
        </w:tabs>
        <w:snapToGrid w:val="false"/>
        <w:spacing w:lineRule="auto" w:line="276" w:before="57" w:after="57"/>
        <w:jc w:val="both"/>
        <w:rPr>
          <w:rFonts w:ascii="Verdana" w:hAnsi="Verdana"/>
          <w:sz w:val="20"/>
          <w:szCs w:val="20"/>
        </w:rPr>
      </w:pPr>
      <w:r>
        <w:rPr>
          <w:rFonts w:eastAsia="Arial Unicode MS" w:cs="Arial" w:ascii="Verdana" w:hAnsi="Verdana"/>
          <w:color w:val="000000"/>
          <w:sz w:val="20"/>
          <w:szCs w:val="20"/>
        </w:rPr>
        <w:t>4.3.4 E</w:t>
      </w:r>
      <w:bookmarkStart w:id="5"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p>
    <w:p>
      <w:pPr>
        <w:pStyle w:val="Normal"/>
        <w:tabs>
          <w:tab w:val="clear" w:pos="708"/>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4.3.5 P</w:t>
      </w:r>
      <w:bookmarkStart w:id="6"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6"/>
    </w:p>
    <w:p>
      <w:pPr>
        <w:pStyle w:val="Normal"/>
        <w:tabs>
          <w:tab w:val="clear" w:pos="708"/>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4.3.7 E</w:t>
      </w:r>
      <w:bookmarkStart w:id="7" w:name="_Ref113883579"/>
      <w:r>
        <w:rPr>
          <w:rFonts w:cs="Arial" w:ascii="Verdana" w:hAnsi="Verdana"/>
          <w:color w:val="000000"/>
          <w:sz w:val="20"/>
          <w:szCs w:val="20"/>
        </w:rPr>
        <w:t>mpresas controladoras, controladas ou coligadas, nos termos da Lei nº 6.404, de 15 de dezembro de 1976, concorrendo entre si;</w:t>
      </w:r>
      <w:bookmarkEnd w:id="7"/>
    </w:p>
    <w:p>
      <w:pPr>
        <w:pStyle w:val="Normal"/>
        <w:tabs>
          <w:tab w:val="clear" w:pos="708"/>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jc w:val="both"/>
        <w:rPr>
          <w:rFonts w:ascii="Verdana" w:hAnsi="Verdana"/>
          <w:sz w:val="20"/>
          <w:szCs w:val="20"/>
        </w:rPr>
      </w:pPr>
      <w:r>
        <w:rPr>
          <w:rFonts w:cs="Arial" w:ascii="Verdana" w:hAnsi="Verdana"/>
          <w:color w:val="000000"/>
          <w:sz w:val="20"/>
          <w:szCs w:val="20"/>
        </w:rPr>
        <w:t>4.3.9 A</w:t>
      </w:r>
      <w:bookmarkStart w:id="8" w:name="_Ref113962336"/>
      <w:r>
        <w:rPr>
          <w:rFonts w:cs="Arial" w:ascii="Verdana" w:hAnsi="Verdana"/>
          <w:color w:val="000000"/>
          <w:sz w:val="20"/>
          <w:szCs w:val="20"/>
        </w:rPr>
        <w:t>gente público do órgão ou entidade licitante;</w:t>
      </w:r>
      <w:bookmarkEnd w:id="8"/>
    </w:p>
    <w:p>
      <w:pPr>
        <w:pStyle w:val="Normal"/>
        <w:snapToGrid w:val="false"/>
        <w:spacing w:lineRule="auto" w:line="276" w:before="57" w:after="57"/>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before="57" w:after="57"/>
        <w:jc w:val="both"/>
        <w:rPr>
          <w:rFonts w:ascii="Verdana" w:hAnsi="Verdana"/>
          <w:sz w:val="20"/>
          <w:szCs w:val="20"/>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ind w:hanging="0" w:left="0"/>
        <w:rPr>
          <w:rFonts w:ascii="Verdana" w:hAnsi="Verdana" w:eastAsia="Segoe UI" w:cs="Arial"/>
          <w:bCs/>
          <w:color w:val="00000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ind w:hanging="0" w:left="0"/>
        <w:rPr>
          <w:rFonts w:ascii="Verdana" w:hAnsi="Verdana" w:eastAsia="Segoe UI" w:cs="Arial"/>
          <w:bCs/>
          <w:color w:val="000000"/>
        </w:rPr>
      </w:pPr>
      <w:bookmarkStart w:id="9" w:name="art14§2"/>
      <w:bookmarkEnd w:id="9"/>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ind w:hanging="0" w:left="0"/>
        <w:rPr>
          <w:rFonts w:ascii="Verdana" w:hAnsi="Verdana" w:eastAsia="Segoe UI" w:cs="Arial"/>
          <w:bCs/>
          <w:color w:val="000000"/>
        </w:rPr>
      </w:pPr>
      <w:bookmarkStart w:id="10" w:name="art14§3"/>
      <w:bookmarkEnd w:id="10"/>
      <w:r>
        <w:rPr>
          <w:rFonts w:eastAsia="Segoe UI" w:cs="Arial" w:ascii="Verdana" w:hAnsi="Verdana"/>
          <w:bCs/>
          <w:color w:val="000000"/>
        </w:rPr>
        <w:t>4.6 Equiparam-se aos autores do projeto as empresas integrantes do mesmo grupo econômico.</w:t>
      </w:r>
    </w:p>
    <w:p>
      <w:pPr>
        <w:pStyle w:val="Nivel2"/>
        <w:numPr>
          <w:ilvl w:val="0"/>
          <w:numId w:val="0"/>
        </w:numPr>
        <w:ind w:hanging="0" w:left="0"/>
        <w:rPr>
          <w:rFonts w:ascii="Verdana" w:hAnsi="Verdana" w:eastAsia="Segoe UI" w:cs="Arial"/>
          <w:bCs/>
          <w:color w:val="000000"/>
        </w:rPr>
      </w:pPr>
      <w:bookmarkStart w:id="11" w:name="art14§4"/>
      <w:bookmarkEnd w:id="11"/>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ind w:hanging="0" w:left="0"/>
        <w:rPr/>
      </w:pPr>
      <w:bookmarkStart w:id="12" w:name="art14§5"/>
      <w:bookmarkEnd w:id="12"/>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ind w:hanging="0" w:left="0"/>
        <w:rPr>
          <w:rFonts w:ascii="Verdana" w:hAnsi="Verdana" w:eastAsia="Segoe UI" w:cs="Arial"/>
          <w:bCs/>
          <w:color w:val="000000"/>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76" w:before="57" w:after="57"/>
        <w:ind w:hanging="0" w:left="0"/>
        <w:rPr>
          <w:rFonts w:ascii="Verdana" w:hAnsi="Verdana"/>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76"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cs="Arial"/>
        </w:rPr>
      </w:pPr>
      <w:r>
        <w:rPr>
          <w:rFonts w:cs="Arial" w:ascii="Verdana" w:hAnsi="Verdana"/>
        </w:rPr>
        <w:t>DO PREENCHIMENTO DA PROPOSTA</w:t>
      </w:r>
    </w:p>
    <w:p>
      <w:pPr>
        <w:pStyle w:val="Normal"/>
        <w:numPr>
          <w:ilvl w:val="1"/>
          <w:numId w:val="2"/>
        </w:numPr>
        <w:tabs>
          <w:tab w:val="clear" w:pos="708"/>
          <w:tab w:val="left" w:pos="450" w:leader="none"/>
        </w:tabs>
        <w:spacing w:lineRule="auto" w:line="276" w:before="113" w:after="113"/>
        <w:ind w:hanging="0" w:left="0" w:right="113"/>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76" w:before="113" w:after="113"/>
        <w:ind w:hanging="1638" w:left="1638" w:right="113"/>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76" w:before="113" w:after="113"/>
        <w:ind w:hanging="0" w:right="113"/>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76" w:before="113" w:after="113"/>
        <w:ind w:hanging="0" w:left="0" w:right="113"/>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76" w:before="113" w:after="113"/>
        <w:ind w:hanging="0" w:left="0" w:right="113"/>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76" w:before="113" w:after="113"/>
        <w:ind w:hanging="0" w:left="0" w:right="113"/>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76" w:before="113" w:after="113"/>
        <w:ind w:hanging="6" w:left="0" w:right="113"/>
        <w:contextualSpacing/>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76" w:before="113" w:after="113"/>
        <w:ind w:hanging="6" w:left="0" w:right="113"/>
        <w:contextualSpacing/>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76" w:before="113" w:after="0"/>
        <w:ind w:hanging="6" w:left="0" w:right="113"/>
        <w:contextualSpacing/>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before="0" w:after="0"/>
        <w:ind w:hanging="0" w:left="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76" w:before="113" w:after="113"/>
        <w:ind w:hanging="6" w:left="0" w:right="113"/>
        <w:contextualSpacing/>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76" w:before="113" w:after="113"/>
        <w:ind w:hanging="6" w:left="0" w:right="113"/>
        <w:contextualSpacing/>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113" w:after="113"/>
        <w:ind w:hanging="0" w:left="0" w:right="113"/>
        <w:contextualSpacing/>
        <w:jc w:val="both"/>
        <w:rPr>
          <w:rFonts w:ascii="Verdana" w:hAnsi="Verdana" w:cs="Arial"/>
          <w:color w:val="000000"/>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76" w:before="113" w:after="113"/>
        <w:ind w:hanging="0" w:left="0" w:right="113"/>
        <w:contextualSpacing/>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ind w:hanging="0" w:lef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lote.</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57" w:after="57"/>
        <w:ind w:hanging="0" w:left="0"/>
        <w:contextualSpacing w:val="false"/>
        <w:jc w:val="both"/>
        <w:rPr>
          <w:rFonts w:ascii="Verdana" w:hAnsi="Verdana" w:cs="Arial"/>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jc w:val="both"/>
        <w:rPr>
          <w:rFonts w:ascii="Verdana" w:hAnsi="Verdana" w:cs="Arial"/>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jc w:val="both"/>
        <w:rPr>
          <w:rFonts w:ascii="Verdana" w:hAnsi="Verdana"/>
          <w:sz w:val="20"/>
          <w:szCs w:val="20"/>
        </w:rPr>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76"/>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76"/>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lineRule="auto" w:line="276" w:before="57" w:after="57"/>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76" w:before="57" w:after="57"/>
        <w:jc w:val="both"/>
        <w:rPr>
          <w:rFonts w:ascii="Verdana" w:hAnsi="Verdana"/>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76" w:before="57" w:after="57"/>
        <w:jc w:val="both"/>
        <w:rPr>
          <w:rFonts w:ascii="Verdana" w:hAnsi="Verdana"/>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76" w:before="57" w:after="57"/>
        <w:jc w:val="both"/>
        <w:rPr>
          <w:rFonts w:ascii="Verdana" w:hAnsi="Verdana"/>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76" w:before="57" w:after="57"/>
        <w:jc w:val="both"/>
        <w:rPr>
          <w:rFonts w:ascii="Verdana" w:hAnsi="Verdana"/>
          <w:sz w:val="20"/>
          <w:szCs w:val="20"/>
        </w:rPr>
      </w:pPr>
      <w:r>
        <w:rPr>
          <w:rFonts w:cs="Arial" w:ascii="Verdana" w:hAnsi="Verdana"/>
          <w:color w:val="000000"/>
          <w:sz w:val="20"/>
          <w:szCs w:val="20"/>
        </w:rPr>
        <w:t>7.18 Caso o licitante não apresente lances, concorrerá com o valor de sua proposta.</w:t>
      </w:r>
    </w:p>
    <w:p>
      <w:pPr>
        <w:pStyle w:val="Normal"/>
        <w:spacing w:lineRule="auto" w:line="276" w:before="57" w:after="57"/>
        <w:jc w:val="both"/>
        <w:rPr>
          <w:rFonts w:ascii="Verdana" w:hAnsi="Verdana"/>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jc w:val="both"/>
        <w:rPr>
          <w:rFonts w:ascii="Verdana" w:hAnsi="Verdana"/>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jc w:val="both"/>
        <w:rPr>
          <w:rFonts w:ascii="Verdana" w:hAnsi="Verdana"/>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jc w:val="both"/>
        <w:rPr>
          <w:rFonts w:ascii="Verdana" w:hAnsi="Verdana"/>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jc w:val="both"/>
        <w:rPr>
          <w:rFonts w:ascii="Verdana" w:hAnsi="Verdana"/>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jc w:val="both"/>
        <w:rPr>
          <w:rFonts w:ascii="Verdana" w:hAnsi="Verdana"/>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76" w:before="57" w:after="57"/>
        <w:jc w:val="both"/>
        <w:rPr>
          <w:rFonts w:ascii="Verdana" w:hAnsi="Verdana"/>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 Nº 12.187%2C DE 29 DE DEZEMBRO DE 2009.&amp;text=Institui a Política Nacional sobre,PNMC e dá outras providências."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jc w:val="both"/>
        <w:rPr>
          <w:rFonts w:ascii="Verdana" w:hAnsi="Verdana"/>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76" w:before="57" w:after="57"/>
        <w:ind w:hanging="0" w:left="0"/>
        <w:contextualSpacing w:val="false"/>
        <w:jc w:val="both"/>
        <w:rPr>
          <w:rFonts w:cs="Arial"/>
          <w:color w:val="000000"/>
        </w:rPr>
      </w:pPr>
      <w:r>
        <w:rPr>
          <w:rFonts w:cs="Arial"/>
          <w:color w:val="000000"/>
        </w:rPr>
      </w:r>
    </w:p>
    <w:p>
      <w:pPr>
        <w:pStyle w:val="Nivel01"/>
        <w:numPr>
          <w:ilvl w:val="0"/>
          <w:numId w:val="2"/>
        </w:numPr>
        <w:tabs>
          <w:tab w:val="clear" w:pos="567"/>
          <w:tab w:val="left" w:pos="517" w:leader="none"/>
        </w:tabs>
        <w:spacing w:lineRule="auto" w:line="276" w:before="57" w:after="57"/>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bookmarkStart w:id="13"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2"/>
          <w:sz w:val="20"/>
          <w:u w:val="single"/>
          <w:szCs w:val="20"/>
          <w:rFonts w:cs="Arial" w:ascii="Verdana" w:hAnsi="Verdana"/>
          <w:color w:val="000080"/>
        </w:rPr>
        <w:instrText xml:space="preserve"> HYPERLINK "http://www.planalto.gov.br/ccivil_03/_ato2019-2022/2021/lei/L14133.htm" \l "art14"</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 14 da Lei nº 14.133/2021</w:t>
      </w:r>
      <w:r>
        <w:rPr>
          <w:rStyle w:val="ListLabel29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3"/>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artigo 29 a 35 da IN SEGES nº 73, de 30 de setembro de 2022</w:t>
      </w:r>
      <w:r>
        <w:rPr>
          <w:rStyle w:val="ListLabel29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76"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76"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76"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lineRule="auto" w:line="276"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76"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76"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57" w:after="57"/>
        <w:jc w:val="both"/>
        <w:rPr>
          <w:rFonts w:cs="Arial"/>
          <w:color w:val="000000"/>
        </w:rPr>
      </w:pPr>
      <w:r>
        <w:rPr>
          <w:rFonts w:cs="Arial"/>
          <w:color w:val="000000"/>
        </w:rPr>
      </w:r>
    </w:p>
    <w:p>
      <w:pPr>
        <w:pStyle w:val="Nivel01"/>
        <w:numPr>
          <w:ilvl w:val="0"/>
          <w:numId w:val="2"/>
        </w:numPr>
        <w:spacing w:lineRule="auto" w:line="276" w:before="57" w:after="57"/>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57" w:after="57"/>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76" w:before="57" w:after="57"/>
        <w:ind w:hanging="0"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29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hanging="0"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9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9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29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57" w:after="57"/>
        <w:ind w:hanging="0" w:left="0"/>
        <w:contextualSpacing/>
        <w:rPr>
          <w:rFonts w:ascii="Verdana" w:hAnsi="Verdana" w:cs="Arial"/>
          <w:color w:val="000000"/>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76" w:before="57" w:after="57"/>
        <w:ind w:hanging="0" w:left="0"/>
        <w:contextualSpacing/>
        <w:rPr>
          <w:rFonts w:ascii="Verdana" w:hAnsi="Verdana" w:cs="Arial"/>
          <w:color w:val="000000"/>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57" w:after="57"/>
        <w:ind w:hanging="0" w:left="0"/>
        <w:contextualSpacing/>
        <w:rPr>
          <w:rFonts w:ascii="Verdana" w:hAnsi="Verdana"/>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76" w:before="57" w:after="57"/>
        <w:ind w:hanging="0" w:left="0"/>
        <w:contextualSpacing w:val="false"/>
        <w:rPr>
          <w:rFonts w:ascii="Verdana" w:hAnsi="Verdana"/>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57" w:after="57"/>
        <w:ind w:hanging="0" w:left="0"/>
        <w:contextualSpacing w:val="false"/>
        <w:rPr>
          <w:rFonts w:ascii="Verdana" w:hAnsi="Verdana"/>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9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76" w:before="113" w:after="113"/>
        <w:jc w:val="both"/>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76" w:before="57" w:after="57"/>
        <w:ind w:hanging="0" w:left="0"/>
        <w:contextualSpacing w:val="false"/>
        <w:jc w:val="both"/>
        <w:rPr>
          <w:rFonts w:cs="Arial"/>
          <w:color w:val="000000"/>
        </w:rPr>
      </w:pPr>
      <w:r>
        <w:rPr>
          <w:rFonts w:cs="Arial"/>
          <w:color w:val="000000"/>
        </w:rPr>
      </w:r>
    </w:p>
    <w:p>
      <w:pPr>
        <w:pStyle w:val="Nivel01"/>
        <w:numPr>
          <w:ilvl w:val="0"/>
          <w:numId w:val="2"/>
        </w:numPr>
        <w:spacing w:lineRule="auto" w:line="276" w:before="57" w:after="57"/>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76" w:before="57" w:after="57"/>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76"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76"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76"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76"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76"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57" w:after="57"/>
        <w:ind w:hanging="0" w:left="0"/>
        <w:contextualSpacing w:val="false"/>
        <w:jc w:val="both"/>
        <w:rPr>
          <w:rFonts w:cs="Arial"/>
          <w:color w:val="000000"/>
        </w:rPr>
      </w:pPr>
      <w:r>
        <w:rPr>
          <w:rFonts w:cs="Arial"/>
          <w:color w:val="000000"/>
        </w:rPr>
      </w:r>
    </w:p>
    <w:p>
      <w:pPr>
        <w:pStyle w:val="Nivel01"/>
        <w:numPr>
          <w:ilvl w:val="0"/>
          <w:numId w:val="2"/>
        </w:numPr>
        <w:spacing w:lineRule="auto" w:line="276" w:before="57" w:after="57"/>
        <w:ind w:hanging="0" w:left="0"/>
        <w:rPr>
          <w:rFonts w:ascii="Verdana" w:hAnsi="Verdana"/>
        </w:rPr>
      </w:pPr>
      <w:r>
        <w:rPr>
          <w:rFonts w:cs="Arial" w:ascii="Verdana" w:hAnsi="Verdana"/>
          <w:lang w:eastAsia="en-US"/>
        </w:rPr>
        <w:t>DOS RECURSOS</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57" w:after="57"/>
        <w:ind w:hanging="0" w:left="0"/>
        <w:contextualSpacing w:val="false"/>
        <w:jc w:val="both"/>
        <w:rPr>
          <w:rFonts w:cs="Arial"/>
          <w:color w:val="000000"/>
        </w:rPr>
      </w:pPr>
      <w:r>
        <w:rPr>
          <w:rFonts w:cs="Arial"/>
          <w:color w:val="000000"/>
        </w:rPr>
      </w:r>
    </w:p>
    <w:p>
      <w:pPr>
        <w:pStyle w:val="Nivel01"/>
        <w:numPr>
          <w:ilvl w:val="0"/>
          <w:numId w:val="2"/>
        </w:numPr>
        <w:spacing w:lineRule="auto" w:line="276" w:before="57" w:after="57"/>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57" w:after="57"/>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76" w:before="57" w:after="57"/>
        <w:rPr>
          <w:rFonts w:ascii="Verdana" w:hAnsi="Verdana" w:cs="Arial"/>
          <w:sz w:val="20"/>
          <w:szCs w:val="20"/>
        </w:rPr>
      </w:pPr>
      <w:r>
        <w:rPr>
          <w:rFonts w:cs="Arial"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 xml:space="preserve">DA ADJUDICAÇÃO E HOMOLOGAÇÃO </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113" w:after="113"/>
        <w:ind w:hanging="0" w:left="57" w:right="57"/>
        <w:rPr/>
      </w:pPr>
      <w:r>
        <w:rPr>
          <w:rFonts w:cs="Arial" w:ascii="Verdana" w:hAnsi="Verdana"/>
          <w:color w:val="auto"/>
        </w:rPr>
        <w:t xml:space="preserve">DA GARANTIA DE EXECUÇÃO </w:t>
      </w:r>
    </w:p>
    <w:p>
      <w:pPr>
        <w:pStyle w:val="ListParagraph"/>
        <w:numPr>
          <w:ilvl w:val="1"/>
          <w:numId w:val="2"/>
        </w:numPr>
        <w:spacing w:lineRule="auto" w:line="276" w:before="113" w:after="113"/>
        <w:ind w:hanging="0" w:left="57" w:right="57"/>
        <w:contextualSpacing w:val="false"/>
        <w:jc w:val="both"/>
        <w:rPr>
          <w:sz w:val="20"/>
          <w:szCs w:val="20"/>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lineRule="auto" w:line="276" w:before="113" w:after="113"/>
        <w:ind w:hanging="0" w:left="57" w:right="57"/>
        <w:contextualSpacing w:val="false"/>
        <w:jc w:val="both"/>
        <w:rPr>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76" w:before="113" w:after="113"/>
        <w:ind w:hanging="0" w:left="57" w:right="57"/>
        <w:contextualSpacing w:val="false"/>
        <w:jc w:val="both"/>
        <w:rPr>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76" w:before="113" w:after="113"/>
        <w:ind w:hanging="0" w:left="57" w:right="57"/>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76" w:before="57" w:after="57"/>
        <w:ind w:hanging="0" w:left="0"/>
        <w:contextualSpacing w:val="false"/>
        <w:jc w:val="both"/>
        <w:rPr>
          <w:sz w:val="20"/>
          <w:szCs w:val="20"/>
        </w:rPr>
      </w:pPr>
      <w:r>
        <w:rPr>
          <w:rFonts w:cs="Arial" w:ascii="Verdana" w:hAnsi="Verdana"/>
          <w:b/>
          <w:bCs/>
          <w:sz w:val="20"/>
          <w:szCs w:val="20"/>
        </w:rPr>
        <w:t>15 DA ATA DE REGISTRO DE PREÇOS</w:t>
      </w:r>
    </w:p>
    <w:p>
      <w:pPr>
        <w:pStyle w:val="ListParagraph"/>
        <w:tabs>
          <w:tab w:val="clear" w:pos="708"/>
          <w:tab w:val="left" w:pos="850" w:leader="none"/>
        </w:tabs>
        <w:spacing w:lineRule="auto" w:line="276" w:before="113" w:after="113"/>
        <w:ind w:hanging="0" w:left="57" w:right="57"/>
        <w:contextualSpacing w:val="false"/>
        <w:jc w:val="both"/>
        <w:rPr>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76" w:before="113" w:after="113"/>
        <w:ind w:hanging="0" w:left="57" w:right="57"/>
        <w:contextualSpacing w:val="false"/>
        <w:jc w:val="both"/>
        <w:rPr>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76" w:before="113" w:after="113"/>
        <w:ind w:hanging="0" w:left="57" w:right="57"/>
        <w:contextualSpacing w:val="false"/>
        <w:jc w:val="both"/>
        <w:rPr>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lineRule="auto" w:line="276" w:before="113" w:after="113"/>
        <w:ind w:hanging="0" w:left="57" w:right="57"/>
        <w:contextualSpacing w:val="false"/>
        <w:jc w:val="both"/>
        <w:rPr>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76" w:before="113" w:after="113"/>
        <w:ind w:hanging="0" w:left="57" w:right="57"/>
        <w:contextualSpacing w:val="false"/>
        <w:jc w:val="both"/>
        <w:rPr>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ind w:hanging="0" w:left="0"/>
        <w:rPr>
          <w:rFonts w:ascii="Verdana" w:hAnsi="Verdana" w:eastAsia="Segoe UI" w:cs="Arial"/>
          <w:bCs/>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76" w:before="57" w:after="57"/>
        <w:ind w:hanging="0" w:left="0"/>
        <w:contextualSpacing w:val="false"/>
        <w:jc w:val="both"/>
        <w:rPr>
          <w:rFonts w:ascii="Verdana" w:hAnsi="Verdana"/>
          <w:bCs/>
          <w:sz w:val="20"/>
          <w:szCs w:val="20"/>
        </w:rPr>
      </w:pPr>
      <w:r>
        <w:rPr>
          <w:rFonts w:ascii="Verdana" w:hAnsi="Verdana"/>
          <w:bCs/>
          <w:sz w:val="20"/>
          <w:szCs w:val="20"/>
        </w:rPr>
      </w:r>
    </w:p>
    <w:p>
      <w:pPr>
        <w:pStyle w:val="Nivel01"/>
        <w:spacing w:lineRule="auto" w:line="276" w:before="57" w:after="57"/>
        <w:rPr/>
      </w:pPr>
      <w:r>
        <w:rPr>
          <w:rFonts w:cs="Arial" w:ascii="Verdana" w:hAnsi="Verdana"/>
        </w:rPr>
        <w:t>16. DO REAJUSTAMENTO EM SENTIDO GERAL</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17. DA ACEITAÇÃO DO OBJETO E DA FISCALIZAÇÃO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16.1 Os critérios de recebimento e aceitação do objeto e de fiscalização estão previstos no Termo de Referência e Minuta da Ata anexos a este edital.</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lang w:eastAsia="en-US"/>
        </w:rPr>
        <w:t>18. DAS OBRIGAÇÕES DA CONTRATANTE E DA CONTRATADA</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e Minuta da Ata anexos a este edital.</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Tahoma" w:ascii="Verdana" w:hAnsi="Verdana"/>
          <w:color w:val="auto"/>
        </w:rPr>
        <w:t>19</w:t>
      </w:r>
      <w:r>
        <w:rPr>
          <w:rFonts w:cs="Arial" w:ascii="Verdana" w:hAnsi="Verdana"/>
        </w:rPr>
        <w:t>. DO PAGAMENTO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As regras acerca do pagamento são as estabelecidas no Termo de Referência e Minuta de Ata anexos a este edital.</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20. DAS SANÇÕES ADMINISTRATIVAS.</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b/>
          <w:bCs/>
          <w:sz w:val="20"/>
          <w:szCs w:val="20"/>
          <w:shd w:fill="FFFFFF" w:val="clear"/>
        </w:rPr>
        <w:t xml:space="preserve">20.1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20.1.1 D</w:t>
      </w:r>
      <w:bookmarkStart w:id="14"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4"/>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 xml:space="preserve">20.1.2 </w:t>
      </w:r>
      <w:bookmarkStart w:id="15" w:name="_Ref114668108"/>
      <w:r>
        <w:rPr>
          <w:rFonts w:cs="Arial" w:ascii="Verdana" w:hAnsi="Verdana"/>
          <w:sz w:val="20"/>
          <w:szCs w:val="20"/>
          <w:shd w:fill="FFFFFF" w:val="clear"/>
        </w:rPr>
        <w:t>Salvo em decorrência de fato superveniente devidamente justificado, não mantiver a proposta em especial quando:</w:t>
      </w:r>
      <w:bookmarkEnd w:id="15"/>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57" w:after="57"/>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57" w:after="57"/>
        <w:jc w:val="both"/>
        <w:rPr>
          <w:rFonts w:ascii="Verdana" w:hAnsi="Verdana"/>
          <w:sz w:val="20"/>
          <w:szCs w:val="20"/>
        </w:rPr>
      </w:pPr>
      <w:r>
        <w:rPr>
          <w:rFonts w:ascii="Verdana" w:hAnsi="Verdana"/>
          <w:sz w:val="20"/>
          <w:szCs w:val="20"/>
        </w:rPr>
        <w:t>20.1.4 A</w:t>
      </w:r>
      <w:bookmarkStart w:id="16" w:name="_Ref114668249"/>
      <w:r>
        <w:rPr>
          <w:rFonts w:ascii="Verdana" w:hAnsi="Verdana"/>
          <w:sz w:val="20"/>
          <w:szCs w:val="20"/>
        </w:rPr>
        <w:t>presentar declaração ou documentação falsa exigida para o certame ou prestar declaração falsa durante a licitação</w:t>
      </w:r>
      <w:bookmarkEnd w:id="16"/>
    </w:p>
    <w:p>
      <w:pPr>
        <w:pStyle w:val="Normal"/>
        <w:spacing w:lineRule="auto" w:line="276" w:before="57" w:after="57"/>
        <w:jc w:val="both"/>
        <w:rPr>
          <w:rFonts w:ascii="Verdana" w:hAnsi="Verdana"/>
          <w:sz w:val="20"/>
          <w:szCs w:val="20"/>
        </w:rPr>
      </w:pPr>
      <w:r>
        <w:rPr>
          <w:rFonts w:ascii="Verdana" w:hAnsi="Verdana"/>
          <w:sz w:val="20"/>
          <w:szCs w:val="20"/>
        </w:rPr>
        <w:t>20.1.5 F</w:t>
      </w:r>
      <w:bookmarkStart w:id="17" w:name="_Ref114668245"/>
      <w:r>
        <w:rPr>
          <w:rFonts w:ascii="Verdana" w:hAnsi="Verdana"/>
          <w:sz w:val="20"/>
          <w:szCs w:val="20"/>
        </w:rPr>
        <w:t>raudar a licitação</w:t>
      </w:r>
      <w:bookmarkEnd w:id="17"/>
    </w:p>
    <w:p>
      <w:pPr>
        <w:pStyle w:val="Normal"/>
        <w:spacing w:lineRule="auto" w:line="276" w:before="57" w:after="57"/>
        <w:jc w:val="both"/>
        <w:rPr>
          <w:rFonts w:ascii="Verdana" w:hAnsi="Verdana"/>
          <w:sz w:val="20"/>
          <w:szCs w:val="20"/>
        </w:rPr>
      </w:pPr>
      <w:r>
        <w:rPr>
          <w:rFonts w:ascii="Verdana" w:hAnsi="Verdana"/>
          <w:sz w:val="20"/>
          <w:szCs w:val="20"/>
        </w:rPr>
        <w:t>20.1.6 C</w:t>
      </w:r>
      <w:bookmarkStart w:id="18" w:name="_Ref114668247"/>
      <w:r>
        <w:rPr>
          <w:rFonts w:ascii="Verdana" w:hAnsi="Verdana"/>
          <w:sz w:val="20"/>
          <w:szCs w:val="20"/>
        </w:rPr>
        <w:t>omportar-se de modo inidôneo ou cometer fraude de qualquer natureza, em especial quando:</w:t>
      </w:r>
      <w:bookmarkEnd w:id="18"/>
    </w:p>
    <w:p>
      <w:pPr>
        <w:pStyle w:val="Normal"/>
        <w:spacing w:lineRule="auto" w:line="276" w:before="57" w:after="57"/>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76" w:before="57" w:after="57"/>
        <w:jc w:val="both"/>
        <w:rPr>
          <w:rFonts w:ascii="Verdana" w:hAnsi="Verdana"/>
          <w:sz w:val="20"/>
          <w:szCs w:val="20"/>
        </w:rPr>
      </w:pPr>
      <w:r>
        <w:rPr>
          <w:rFonts w:ascii="Verdana" w:hAnsi="Verdana"/>
          <w:sz w:val="20"/>
          <w:szCs w:val="20"/>
        </w:rPr>
        <w:t>20.1.6.2 Induzir deliberadamente a erro no julgamento;</w:t>
      </w:r>
    </w:p>
    <w:p>
      <w:pPr>
        <w:pStyle w:val="Normal"/>
        <w:spacing w:lineRule="auto" w:line="276" w:before="57" w:after="57"/>
        <w:jc w:val="both"/>
        <w:rPr>
          <w:rFonts w:ascii="Verdana" w:hAnsi="Verdana"/>
          <w:sz w:val="20"/>
          <w:szCs w:val="20"/>
        </w:rPr>
      </w:pPr>
      <w:r>
        <w:rPr>
          <w:rFonts w:ascii="Verdana" w:hAnsi="Verdana"/>
          <w:sz w:val="20"/>
          <w:szCs w:val="20"/>
        </w:rPr>
        <w:t>20.1.6.3 Apresentar amostra falsificada ou deteriorada;</w:t>
      </w:r>
    </w:p>
    <w:p>
      <w:pPr>
        <w:pStyle w:val="Normal"/>
        <w:spacing w:lineRule="auto" w:line="276" w:before="57" w:after="57"/>
        <w:jc w:val="both"/>
        <w:rPr>
          <w:rFonts w:ascii="Verdana" w:hAnsi="Verdana"/>
          <w:sz w:val="20"/>
          <w:szCs w:val="20"/>
        </w:rPr>
      </w:pPr>
      <w:r>
        <w:rPr>
          <w:rFonts w:ascii="Verdana" w:hAnsi="Verdana"/>
          <w:sz w:val="20"/>
          <w:szCs w:val="20"/>
        </w:rPr>
        <w:t>20.1.7 P</w:t>
      </w:r>
      <w:bookmarkStart w:id="19" w:name="_Ref114668251"/>
      <w:r>
        <w:rPr>
          <w:rFonts w:ascii="Verdana" w:hAnsi="Verdana"/>
          <w:sz w:val="20"/>
          <w:szCs w:val="20"/>
        </w:rPr>
        <w:t>raticar atos ilícitos com vistas a frustrar os objetivos da licitação</w:t>
      </w:r>
      <w:bookmarkEnd w:id="19"/>
    </w:p>
    <w:p>
      <w:pPr>
        <w:pStyle w:val="Normal"/>
        <w:spacing w:lineRule="auto" w:line="276" w:before="57" w:after="57"/>
        <w:jc w:val="both"/>
        <w:rPr>
          <w:rFonts w:ascii="Verdana" w:hAnsi="Verdana"/>
          <w:sz w:val="20"/>
          <w:szCs w:val="20"/>
        </w:rPr>
      </w:pPr>
      <w:r>
        <w:rPr>
          <w:rFonts w:ascii="Verdana" w:hAnsi="Verdana"/>
          <w:sz w:val="20"/>
          <w:szCs w:val="20"/>
        </w:rPr>
        <w:t>20.1.8 P</w:t>
      </w:r>
      <w:bookmarkStart w:id="20" w:name="_Ref114668252"/>
      <w:r>
        <w:rPr>
          <w:rFonts w:ascii="Verdana" w:hAnsi="Verdana"/>
          <w:sz w:val="20"/>
          <w:szCs w:val="20"/>
        </w:rPr>
        <w:t xml:space="preserve">raticar ato lesivo previsto no </w:t>
      </w:r>
      <w:r>
        <w:fldChar w:fldCharType="begin"/>
      </w:r>
      <w:r>
        <w:rPr>
          <w:rStyle w:val="ListLabel296"/>
          <w:sz w:val="20"/>
          <w:szCs w:val="20"/>
          <w:rFonts w:ascii="Verdana" w:hAnsi="Verdana"/>
          <w:color w:val="000000"/>
        </w:rPr>
        <w:instrText xml:space="preserve"> HYPERLINK "https://www.planalto.gov.br/ccivil_03/_ato2011-2014/2013/lei/l12846.htm" \l "art5"</w:instrText>
      </w:r>
      <w:r>
        <w:rPr>
          <w:rStyle w:val="ListLabel296"/>
          <w:sz w:val="20"/>
          <w:szCs w:val="20"/>
          <w:rFonts w:ascii="Verdana" w:hAnsi="Verdana"/>
          <w:color w:val="000000"/>
        </w:rPr>
        <w:fldChar w:fldCharType="separate"/>
      </w:r>
      <w:r>
        <w:rPr>
          <w:rStyle w:val="ListLabel296"/>
          <w:rFonts w:ascii="Verdana" w:hAnsi="Verdana"/>
          <w:color w:val="000000"/>
          <w:sz w:val="20"/>
          <w:szCs w:val="20"/>
        </w:rPr>
        <w:t>art. 5º da Lei n.º 12.846, de 2013</w:t>
      </w:r>
      <w:r>
        <w:rPr>
          <w:rStyle w:val="ListLabel296"/>
          <w:sz w:val="20"/>
          <w:szCs w:val="20"/>
          <w:rFonts w:ascii="Verdana" w:hAnsi="Verdana"/>
          <w:color w:val="000000"/>
        </w:rPr>
        <w:fldChar w:fldCharType="end"/>
      </w:r>
      <w:r>
        <w:rPr>
          <w:rFonts w:ascii="Verdana" w:hAnsi="Verdana"/>
          <w:sz w:val="20"/>
          <w:szCs w:val="20"/>
        </w:rPr>
        <w:t>.</w:t>
      </w:r>
      <w:bookmarkEnd w:id="20"/>
    </w:p>
    <w:p>
      <w:pPr>
        <w:pStyle w:val="Nivel2"/>
        <w:numPr>
          <w:ilvl w:val="0"/>
          <w:numId w:val="0"/>
        </w:numPr>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ind w:hanging="0" w:left="0"/>
        <w:rPr/>
      </w:pPr>
      <w:r>
        <w:rPr>
          <w:rFonts w:ascii="Verdana" w:hAnsi="Verdana"/>
        </w:rPr>
        <w:t>20.2.1 advertência;</w:t>
      </w:r>
    </w:p>
    <w:p>
      <w:pPr>
        <w:pStyle w:val="Nivel2"/>
        <w:numPr>
          <w:ilvl w:val="0"/>
          <w:numId w:val="0"/>
        </w:numPr>
        <w:ind w:hanging="0" w:left="0"/>
        <w:rPr/>
      </w:pPr>
      <w:r>
        <w:rPr>
          <w:rFonts w:ascii="Verdana" w:hAnsi="Verdana"/>
        </w:rPr>
        <w:t>20.2.2 multa;</w:t>
      </w:r>
    </w:p>
    <w:p>
      <w:pPr>
        <w:pStyle w:val="Nivel2"/>
        <w:numPr>
          <w:ilvl w:val="0"/>
          <w:numId w:val="0"/>
        </w:numPr>
        <w:ind w:hanging="0" w:left="0"/>
        <w:rPr/>
      </w:pPr>
      <w:r>
        <w:rPr>
          <w:rFonts w:ascii="Verdana" w:hAnsi="Verdana"/>
        </w:rPr>
        <w:t>20.2.3 impedimento de licitar e contratar e</w:t>
      </w:r>
    </w:p>
    <w:p>
      <w:pPr>
        <w:pStyle w:val="Nivel2"/>
        <w:numPr>
          <w:ilvl w:val="0"/>
          <w:numId w:val="0"/>
        </w:numPr>
        <w:ind w:hanging="0" w:left="0"/>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ind w:hanging="0" w:left="0"/>
        <w:rPr>
          <w:rFonts w:ascii="Verdana" w:hAnsi="Verdana"/>
        </w:rPr>
      </w:pPr>
      <w:r>
        <w:rPr>
          <w:rFonts w:ascii="Verdana" w:hAnsi="Verdana"/>
        </w:rPr>
        <w:t>20.3 Na aplicação das sanções serão considerados:</w:t>
      </w:r>
    </w:p>
    <w:p>
      <w:pPr>
        <w:pStyle w:val="Nivel2"/>
        <w:numPr>
          <w:ilvl w:val="0"/>
          <w:numId w:val="0"/>
        </w:numPr>
        <w:ind w:hanging="0" w:left="0"/>
        <w:rPr>
          <w:rFonts w:ascii="Verdana" w:hAnsi="Verdana"/>
        </w:rPr>
      </w:pPr>
      <w:r>
        <w:rPr>
          <w:rFonts w:ascii="Verdana" w:hAnsi="Verdana"/>
        </w:rPr>
        <w:t>20.3.1 a natureza e a gravidade da infração cometida.</w:t>
      </w:r>
    </w:p>
    <w:p>
      <w:pPr>
        <w:pStyle w:val="Nivel2"/>
        <w:numPr>
          <w:ilvl w:val="0"/>
          <w:numId w:val="0"/>
        </w:numPr>
        <w:ind w:hanging="0" w:left="0"/>
        <w:rPr>
          <w:rFonts w:ascii="Verdana" w:hAnsi="Verdana"/>
        </w:rPr>
      </w:pPr>
      <w:r>
        <w:rPr>
          <w:rFonts w:ascii="Verdana" w:hAnsi="Verdana"/>
        </w:rPr>
        <w:t>20.3.2 as peculiaridades do caso concreto</w:t>
      </w:r>
    </w:p>
    <w:p>
      <w:pPr>
        <w:pStyle w:val="Nivel2"/>
        <w:numPr>
          <w:ilvl w:val="0"/>
          <w:numId w:val="0"/>
        </w:numPr>
        <w:ind w:hanging="0" w:left="0"/>
        <w:rPr>
          <w:rFonts w:ascii="Verdana" w:hAnsi="Verdana"/>
        </w:rPr>
      </w:pPr>
      <w:r>
        <w:rPr>
          <w:rFonts w:ascii="Verdana" w:hAnsi="Verdana"/>
        </w:rPr>
        <w:t>20.3.3 as circunstâncias agravantes ou atenuantes</w:t>
      </w:r>
    </w:p>
    <w:p>
      <w:pPr>
        <w:pStyle w:val="Nivel2"/>
        <w:numPr>
          <w:ilvl w:val="0"/>
          <w:numId w:val="0"/>
        </w:numPr>
        <w:ind w:hanging="0" w:left="0"/>
        <w:rPr>
          <w:rFonts w:ascii="Verdana" w:hAnsi="Verdana"/>
        </w:rPr>
      </w:pPr>
      <w:r>
        <w:rPr>
          <w:rFonts w:ascii="Verdana" w:hAnsi="Verdana"/>
        </w:rPr>
        <w:t>20.3.4 os danos que dela provierem para a Administração Pública</w:t>
      </w:r>
    </w:p>
    <w:p>
      <w:pPr>
        <w:pStyle w:val="Nivel2"/>
        <w:numPr>
          <w:ilvl w:val="0"/>
          <w:numId w:val="0"/>
        </w:numPr>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ind w:hanging="0" w:left="0"/>
        <w:rPr>
          <w:rFonts w:ascii="Verdana" w:hAnsi="Verdana"/>
        </w:rPr>
      </w:pPr>
      <w:r>
        <w:rPr>
          <w:rFonts w:ascii="Verdana" w:hAnsi="Verdana"/>
        </w:rPr>
        <w:t xml:space="preserve">20.4.1 </w:t>
      </w:r>
      <w:bookmarkStart w:id="21" w:name="_Hlk113876035_Copia_1"/>
      <w:bookmarkStart w:id="22" w:name="_Hlk113876035"/>
      <w:r>
        <w:rPr>
          <w:rFonts w:ascii="Verdana" w:hAnsi="Verdana"/>
        </w:rPr>
        <w:t>Para as infrações previstas nos itens 20.1.1, 20.1.2 e 20.1.3, a multa será de 5% do valor do contrato licitado.</w:t>
      </w:r>
      <w:bookmarkEnd w:id="21"/>
      <w:bookmarkEnd w:id="22"/>
    </w:p>
    <w:p>
      <w:pPr>
        <w:pStyle w:val="Nivel2"/>
        <w:numPr>
          <w:ilvl w:val="0"/>
          <w:numId w:val="0"/>
        </w:numPr>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7"/>
          <w:rFonts w:ascii="Verdana" w:hAnsi="Verdana"/>
          <w:color w:val="000000"/>
        </w:rPr>
        <w:instrText xml:space="preserve"> HYPERLINK "http://www.planalto.gov.br/ccivil_03/_ato2019-2022/2021/lei/L14133.htm" \l "art156§5"</w:instrText>
      </w:r>
      <w:r>
        <w:rPr>
          <w:rStyle w:val="ListLabel297"/>
          <w:rFonts w:ascii="Verdana" w:hAnsi="Verdana"/>
          <w:color w:val="000000"/>
        </w:rPr>
        <w:fldChar w:fldCharType="separate"/>
      </w:r>
      <w:r>
        <w:rPr>
          <w:rStyle w:val="ListLabel297"/>
          <w:rFonts w:ascii="Verdana" w:hAnsi="Verdana"/>
          <w:color w:val="000000"/>
        </w:rPr>
        <w:t>art. 156, §5º, da Lei n.º 14.133/2021</w:t>
      </w:r>
      <w:r>
        <w:rPr>
          <w:rStyle w:val="ListLabel297"/>
          <w:rFonts w:ascii="Verdana" w:hAnsi="Verdana"/>
          <w:color w:val="000000"/>
        </w:rPr>
        <w:fldChar w:fldCharType="end"/>
      </w:r>
      <w:r>
        <w:rPr>
          <w:rFonts w:ascii="Verdana" w:hAnsi="Verdana"/>
        </w:rPr>
        <w:t>.</w:t>
      </w:r>
    </w:p>
    <w:p>
      <w:pPr>
        <w:pStyle w:val="Nivel2"/>
        <w:numPr>
          <w:ilvl w:val="0"/>
          <w:numId w:val="0"/>
        </w:numPr>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297"/>
            <w:rFonts w:ascii="Verdana" w:hAnsi="Verdana"/>
            <w:color w:val="000000"/>
          </w:rPr>
          <w:t>art. 45, §4º da IN SEGES/ME n.º 73, de 2022</w:t>
        </w:r>
      </w:hyperlink>
      <w:r>
        <w:rPr>
          <w:rFonts w:ascii="Verdana" w:hAnsi="Verdana"/>
        </w:rPr>
        <w:t xml:space="preserve">. </w:t>
      </w:r>
    </w:p>
    <w:p>
      <w:pPr>
        <w:pStyle w:val="Nivel2"/>
        <w:numPr>
          <w:ilvl w:val="0"/>
          <w:numId w:val="0"/>
        </w:numPr>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76" w:before="57" w:after="57"/>
        <w:ind w:hanging="0"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76" w:before="57" w:after="57"/>
        <w:rPr>
          <w:rFonts w:ascii="Verdana" w:hAnsi="Verdana"/>
        </w:rPr>
      </w:pPr>
      <w:r>
        <w:rPr>
          <w:rFonts w:cs="Arial" w:ascii="Verdana" w:hAnsi="Verdana"/>
        </w:rPr>
        <w:t>21. DA IMPUGNAÇÃO AO EDITAL E DO PEDIDO DE ESCLARECIMENTO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298"/>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22. DAS DISPOSIÇÕES GERAIS</w:t>
      </w:r>
    </w:p>
    <w:p>
      <w:pPr>
        <w:pStyle w:val="Normal"/>
        <w:spacing w:lineRule="auto" w:line="276" w:before="57" w:after="57"/>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before="57" w:after="57"/>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3" w:name="_Hlk123138684_Copia_3"/>
      <w:r>
        <w:rPr>
          <w:rFonts w:cs="Arial" w:ascii="Verdana" w:hAnsi="Verdana"/>
          <w:color w:val="000000"/>
          <w:sz w:val="20"/>
          <w:szCs w:val="20"/>
          <w:u w:val="single"/>
        </w:rPr>
        <w:t>www.portaldecompraspublicas.com.br</w:t>
      </w:r>
      <w:bookmarkEnd w:id="23"/>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1">
        <w:r>
          <w:rPr>
            <w:rStyle w:val="ListLabel294"/>
            <w:rFonts w:ascii="Verdana" w:hAnsi="Verdana"/>
            <w:color w:val="000080"/>
            <w:sz w:val="20"/>
            <w:szCs w:val="20"/>
            <w:u w:val="single"/>
          </w:rPr>
          <w:t>licitacao@</w:t>
        </w:r>
      </w:hyperlink>
      <w:hyperlink r:id="rId12">
        <w:r>
          <w:rPr>
            <w:rStyle w:val="ListLabel294"/>
            <w:rFonts w:ascii="Verdana" w:hAnsi="Verdana"/>
            <w:color w:val="000080"/>
            <w:sz w:val="20"/>
            <w:szCs w:val="20"/>
            <w:u w:val="single"/>
          </w:rPr>
          <w:t>saogabriel</w:t>
        </w:r>
      </w:hyperlink>
      <w:hyperlink r:id="rId13">
        <w:r>
          <w:rPr>
            <w:rStyle w:val="ListLabel29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before="57" w:after="57"/>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22.12.1 ANEXO I – Termo de Referência;</w:t>
      </w:r>
    </w:p>
    <w:p>
      <w:pPr>
        <w:pStyle w:val="Normal"/>
        <w:spacing w:lineRule="auto" w:line="276" w:before="57" w:after="57"/>
        <w:jc w:val="both"/>
        <w:rPr>
          <w:rFonts w:ascii="Verdana" w:hAnsi="Verdana"/>
          <w:sz w:val="20"/>
          <w:szCs w:val="20"/>
        </w:rPr>
      </w:pPr>
      <w:r>
        <w:rPr>
          <w:rFonts w:cs="Arial" w:ascii="Verdana" w:hAnsi="Verdana"/>
          <w:color w:val="000000"/>
          <w:sz w:val="20"/>
          <w:szCs w:val="20"/>
        </w:rPr>
        <w:t>22.12.2.1 ANEXO I-1 – Estudo Técnico Preliminar;</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22.12.2 ANEXO II – Modelo Orientativo de Proposta;</w:t>
      </w:r>
    </w:p>
    <w:p>
      <w:pPr>
        <w:pStyle w:val="Normal"/>
        <w:tabs>
          <w:tab w:val="clear" w:pos="708"/>
          <w:tab w:val="left" w:pos="80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76"/>
        <w:ind w:hanging="0" w:left="360"/>
        <w:jc w:val="center"/>
        <w:outlineLvl w:val="0"/>
        <w:rPr>
          <w:sz w:val="20"/>
          <w:szCs w:val="20"/>
        </w:rPr>
      </w:pPr>
      <w:r>
        <w:rPr>
          <w:sz w:val="20"/>
          <w:szCs w:val="20"/>
        </w:rPr>
      </w:r>
    </w:p>
    <w:p>
      <w:pPr>
        <w:pStyle w:val="Normal"/>
        <w:numPr>
          <w:ilvl w:val="0"/>
          <w:numId w:val="0"/>
        </w:numPr>
        <w:tabs>
          <w:tab w:val="clear" w:pos="708"/>
          <w:tab w:val="left" w:pos="567" w:leader="none"/>
        </w:tabs>
        <w:spacing w:lineRule="auto" w:line="276"/>
        <w:ind w:hanging="0" w:left="360"/>
        <w:jc w:val="center"/>
        <w:outlineLvl w:val="0"/>
        <w:rPr>
          <w:sz w:val="20"/>
          <w:szCs w:val="20"/>
        </w:rPr>
      </w:pPr>
      <w:r>
        <w:rPr>
          <w:rFonts w:cs="Arial" w:ascii="Verdana" w:hAnsi="Verdana"/>
          <w:color w:val="000000"/>
          <w:sz w:val="20"/>
          <w:szCs w:val="20"/>
        </w:rPr>
        <w:t>São Gabriel da Palha/ES, 12 de setembro de 2024.</w:t>
      </w:r>
    </w:p>
    <w:p>
      <w:pPr>
        <w:pStyle w:val="Normal"/>
        <w:tabs>
          <w:tab w:val="clear" w:pos="708"/>
          <w:tab w:val="left" w:pos="1440" w:leader="none"/>
        </w:tabs>
        <w:snapToGrid w:val="false"/>
        <w:spacing w:lineRule="auto" w:line="276" w:before="120" w:after="120"/>
        <w:ind w:hanging="0"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before="120" w:after="120"/>
        <w:ind w:hanging="0"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lineRule="auto" w:line="276"/>
        <w:ind w:hanging="0" w:left="0" w:right="113"/>
        <w:jc w:val="center"/>
        <w:outlineLvl w:val="0"/>
        <w:rPr>
          <w:sz w:val="20"/>
          <w:szCs w:val="20"/>
        </w:rPr>
      </w:pPr>
      <w:r>
        <w:rPr>
          <w:rFonts w:eastAsia="" w:cs="Arial" w:ascii="Verdana" w:hAnsi="Verdana" w:eastAsiaTheme="majorEastAsia"/>
          <w:b/>
          <w:bCs/>
          <w:color w:val="000000"/>
          <w:sz w:val="20"/>
          <w:szCs w:val="20"/>
        </w:rPr>
        <w:t>BRUNO VAZ LOPES</w:t>
      </w:r>
    </w:p>
    <w:p>
      <w:pPr>
        <w:pStyle w:val="Normal"/>
        <w:keepNext w:val="true"/>
        <w:keepLines/>
        <w:numPr>
          <w:ilvl w:val="0"/>
          <w:numId w:val="0"/>
        </w:numPr>
        <w:tabs>
          <w:tab w:val="clear" w:pos="708"/>
          <w:tab w:val="left" w:pos="567" w:leader="none"/>
        </w:tabs>
        <w:spacing w:lineRule="auto" w:line="276"/>
        <w:ind w:hanging="0" w:left="0" w:right="113"/>
        <w:jc w:val="center"/>
        <w:outlineLvl w:val="0"/>
        <w:rPr>
          <w:sz w:val="20"/>
          <w:szCs w:val="20"/>
        </w:rPr>
      </w:pPr>
      <w:r>
        <w:rPr>
          <w:rFonts w:eastAsia="" w:cs="Arial" w:ascii="Verdana" w:hAnsi="Verdana" w:eastAsiaTheme="majorEastAsia"/>
          <w:b/>
          <w:bCs/>
          <w:color w:val="000000"/>
          <w:sz w:val="20"/>
          <w:szCs w:val="20"/>
        </w:rPr>
        <w:t>Secretário Municipal de Saúde Interino</w:t>
      </w:r>
    </w:p>
    <w:sectPr>
      <w:headerReference w:type="even" r:id="rId14"/>
      <w:headerReference w:type="default" r:id="rId15"/>
      <w:headerReference w:type="first" r:id="rId16"/>
      <w:footerReference w:type="even" r:id="rId17"/>
      <w:footerReference w:type="default" r:id="rId18"/>
      <w:footerReference w:type="first" r:id="rId19"/>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Hyperlink">
    <w:name w:val="Hyperlink"/>
    <w:uiPriority w:val="99"/>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Caption111" w:customStyle="1">
    <w:name w:val="caption1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NoList" w:default="1">
    <w:name w:val="No List"/>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3030</TotalTime>
  <Application>LibreOffice/7.6.7.2$Windows_X86_64 LibreOffice_project/dd47e4b30cb7dab30588d6c79c651f218165e3c5</Application>
  <AppVersion>15.0000</AppVersion>
  <Pages>18</Pages>
  <Words>8463</Words>
  <Characters>47835</Characters>
  <CharactersWithSpaces>55909</CharactersWithSpaces>
  <Paragraphs>319</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2024-09-16T16:22:26Z</cp:lastPrinted>
  <dcterms:modified xsi:type="dcterms:W3CDTF">2024-09-16T16:22:38Z</dcterms:modified>
  <cp:revision>174</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